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32 vom 5. Juli 2013</w:t>
      </w:r>
    </w:p>
    <w:p>
      <w:r>
        <w:t>VS Kantonsgericht, 2013-07-05, FR</w:t>
      </w:r>
    </w:p>
    <w:p>
      <w:r>
        <w:rPr>
          <w:b/>
        </w:rPr>
        <w:t xml:space="preserve">Quelle: </w:t>
      </w:r>
      <w:r>
        <w:t>https://mcp.opencaselaw.ch/entscheid/vs_gerichte_A1 13 32</w:t>
      </w:r>
    </w:p>
    <w:p>
      <w:r>
        <w:t>FR: VS_GERICHTE A1 13 32 du 5 juillet 2013</w:t>
      </w:r>
    </w:p>
    <w:p>
      <w:r>
        <w:t>IT: VS_GERICHTE A1 13 32 del 5 luglio 2013</w:t>
      </w:r>
    </w:p>
    <w:p>
      <w:pPr>
        <w:pStyle w:val="Heading2"/>
      </w:pPr>
      <w:r>
        <w:t>Regeste</w:t>
      </w:r>
    </w:p>
    <w:p>
      <w:r>
        <w:t>A1 13 32 ARRÊT DU 5 JUILLET 2013 Tribunal cantonal du Valais Cour de droit public Composition : Jean-Pierre Zufferey, président ; Jean-Bernard Fournier et Thomas Brunner, juges ; Ferdinand Vanay, greffier en la cause X_________, recourant, représenté par Maître A_________ contre CONSEIL D’ETAT DU CANTON DU VALAIS, autorité attaquée, dans l’affaire qui oppose le recourant à Y_________ et Z_________, représentés par Maître B_________, et à la COMMUNE DE C_________, représentée par Maître D_________</w:t>
      </w:r>
    </w:p>
    <w:p>
      <w:pPr>
        <w:pStyle w:val="Heading2"/>
      </w:pPr>
      <w:r>
        <w:t>Erwägungen</w:t>
      </w:r>
    </w:p>
    <w:p>
      <w:r>
        <w:rPr>
          <w:b/>
        </w:rPr>
        <w:t>E. 1</w:t>
      </w:r>
    </w:p>
    <w:p>
      <w:r>
        <w:t>Le recours est recevable (art. 72, 78 let. a, 80 al. 1 let. a-c, 44 al. 1 let. a, 46 et 48 de la loi du 6 octobre 1976 sur la procédure et la juridiction administratives – LPJA ; RS/VS 172.6). 2.1 Le recourant, ainsi que Y_________ et Z_________, sollicitent l'administration de plusieurs moyens de preuve dont il convient d'examiner l'utilité. 2.2 Les parties ont le droit de participer à la procédure et de présenter leurs moyens de preuve (art. 80 al. 1 let. d, 56 al. 1 et 17 al. 2 LPJA). Le droit de faire administrer les preuves, composante du droit d'être entendu que garantit l'article 29 alinéa 2 de la Constitution fédérale du 18 avril 1999 (Cst. ; RS 101), n'est pas absolu. La prise en considération de moyens de preuve suppose que ceux-ci apparaissent utiles à l'établis- 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130 II 425 consid. 2.1 p. 428 s. et la jurisprudence citée ; RVJ 2009 p. 49, consid. 3b). 2.3 Le 6 février 2013, le Conseil d’Etat a déposé son dossier complet, comprenant celui de la commune de C_________ ; la requête de Y_________ et Z_________ en ce sens est donc satisfaite. Ceux-ci proposent encore de faire indiquer par le géomètre officiel sur les plans mis à l’enquête les limites exactes entre les parcelles nos xxx et xxx et requièrent le dépôt par X_________ de nouveaux plans indiquant la distance entre les bâtiments. Cette offre de preuve apparaît superflue, les pièces au dossier permettant d’appréhender correctement la configuration des lieux, en particulier les distances entre bâtiments et les endroits où ceux-ci sont contigus (cf. infra consid. 3.1). Pour les mêmes raisons, une inspection des lieux n’est pas nécessaire. Enfin, la Cour peut se dispenser de solliciter du conseil municipal le dépôt des quatre derniers dossiers de construction dans lesquels une surélévation de bâtiment en zone vieille ville était demandée ; l’argument que ce moyen de preuve doit étayer n’est en effet pas décisif (cf. infra consid. 3.2.3).</w:t>
      </w:r>
    </w:p>
    <w:p>
      <w:r>
        <w:t>- 6 -</w:t>
      </w:r>
    </w:p>
    <w:p>
      <w:r>
        <w:rPr>
          <w:b/>
        </w:rPr>
        <w:t>E. 3</w:t>
      </w:r>
    </w:p>
    <w:p>
      <w:r>
        <w:t>Le litige porte sur la question de savoir si le projet de transformation du recourant est conforme à la réglementation en vigueur en zone vieille ville quant aux distances et à la hauteur des constructions. Le Conseil d’Etat a estimé que tel n’était pas le cas et a examiné le permis de bâtir litigieux à l’aune des dispositions sur la dérogation, qu’il ne respectait pas, raison pour laquelle il a annulé ledit permis. Le recourant et la commune de C_________ soutiennent que cet examen n’avait pas lieu d’être, le projet en question étant conforme aux dispositions topiques du RCC.</w:t>
      </w:r>
    </w:p>
    <w:p>
      <w:r>
        <w:rPr>
          <w:b/>
        </w:rPr>
        <w:t>E. 3.1</w:t>
      </w:r>
    </w:p>
    <w:p>
      <w:r>
        <w:t>Le tableau des prescriptions des zones que comporte l’article 145 RCC prévoit obligatoirement l’ordre contigu pour les constructions sises en zone vieille ville, sauf en cas d’insalubrité manifeste. En matière de distances à la limite, il impose des minima de 0 ou 3 m, ainsi qu’une distance principale correspondant au tiers de la hauteur, indi- quant sous note 15 « Dérogation à la police du feu pour transformation de bâtiments existants ». L’article 75 lettre a RCC mentionne en outre que, « lorsque la contiguïté est prévue par le règlement de zones, un plan d’affectation spécial ou une servitude, le propriétaire qui désire renoncer à cette contiguïté doit respecter une distance à la limite égale au double de la distance normale ». Côté nord-est, le bâtiment de X_________ sis sur le n° xxx s’appuie directement sur celui de Y_________, construit sur le n° xxx (cf. photographies et plans joints au recours administratif). Vu cette contiguïté, la question de la distance ne se pose pas à cet endroit. Il en va de même au sud-est, entre le bâtiment du recourant et celui construit sur le n° xxx de Y_________ (cf. relevé de façade et coupe du 14 janvier 2013, signé par l’ingénieur géomètre H_________). En revanche, côté sud-ouest, les bâtiments n’ont pas été érigés sur la limite de propriété qui sépare les parcelles nos xxx et xxx, propriétés de X_________, de la parcelle n° xxx de Z_________. A teneur du relevé précité, les constructions sont chacune distantes d’environ 1 m 25 de la limite de propriété au niveau du sol (2 m 50 entre les bâtiments). Les photographies jointes à la demande d’autorisation de construire montrent qu’au second étage, des galeries en saillie se font face entre les nos xxx et xxx, à moins d’un mètre de distance. Le projet de X_________ prévoit de créer un étage supplémentaire en suivant la face sud-ouest de la galerie qui se trouve sur sa parcelle, à 40 cm de la limite de propriété selon le relevé de l’ingénieur géomètre H_________, et à environ 1 m 50 – 2 m de l’habitation de Z_________. Il faut comprendre la distance à la limite que l’article 145 RCC fixe à 3 m ou au tiers de la hauteur du bâtiment en zone vieille ville comme étant applicable en cas de rupture de contiguïté, la distance de 0 m étant celle qui prévaut évidemment dans l’ordre contigu. Force est dès lors de constater qu’au sud-ouest, le projet litigieux ne tient pas le minimum de 3 m, applicable en l’absence de contiguïté. Au surplus, en admettant que l’article 75 lettre a RCC soit pertinent dans le cas d’espèce où les parcelles sont déjà bâties, la règle qu’il fixe n’est pas non plus respectée. La question de l’octroi du permis de bâtir devait donc être examinée sous l’angle dérogatoire, avec les conditions que cela implique, ce qu’a constaté à juste titre l’autorité précédente.</w:t>
      </w:r>
    </w:p>
    <w:p>
      <w:r>
        <w:rPr>
          <w:b/>
        </w:rPr>
        <w:t>E. 3.2</w:t>
      </w:r>
    </w:p>
    <w:p>
      <w:r>
        <w:t>En matière de hauteur, l’article 145 RCC ne prévoit rien pour la zone vieille ville. L’article 146 RCC contient en revanche plusieurs prescriptions spéciales. En particu- lier, « les constructions nouvelles, les transformations et les reconstructions doivent s’intégrer harmonieusement dans la trame urbaine ancienne (hauteur, aspect extérieur,</w:t>
      </w:r>
    </w:p>
    <w:p>
      <w:r>
        <w:t>- 7 - forme des toits, choix des matériaux, couleurs, etc.) » ; « en ce sens, elles peuvent déroger aux dispositions réglementaires de la zone » (let. d). « En principe, la hauteur des bâtiments nouveaux, restaurés ou transformés n’excédera pas le gabarit actuel. Elle devra toujours être adaptée aux bâtiments voisins en respectant, d’une part, les principes de l’hygiène, d’autre part, les qualités de la structure et du relief de la vieille ville » (let. j).</w:t>
      </w:r>
    </w:p>
    <w:p>
      <w:r>
        <w:rPr>
          <w:b/>
        </w:rPr>
        <w:t>E. 3.2.1</w:t>
      </w:r>
    </w:p>
    <w:p>
      <w:r>
        <w:t>Le projet du recourant prévoit la création d’un étage supplémentaire sur son habitation, dont il étend le gabarit. Les parties ne s’entendent pas sur l’interprétation qu’il convient de donner à l’article 146 lettre j RCC, en particulier sur ce qu’il faut enten- dre par « gabarit actuel ». Pour X_________ et la commune de C_________, la première phrase de cette disposition doit se lire avec celle qui suit ; le « gabarit actuel » devrait ainsi se comprendre comme étant celui déterminé en fonction du tissu urbain de la vieille ville, de sorte qu’il ne serait nullement exclu de surélever un bâtiment du moment qu’il ne dépasse pas la hauteur de ceux alentours. Y_________, Z_________ et le Conseil d’Etat sont d’avis que la notion de « gabarit actuel » se rapporte au bâtiment nouveau, restauré ou transformé, ce qui soumettrait à la voie dérogatoire tout projet qui prévoirait une extension de l’enveloppe de l’ouvrage.</w:t>
      </w:r>
    </w:p>
    <w:p>
      <w:r>
        <w:rPr>
          <w:b/>
        </w:rPr>
        <w:t>E. 3.2.2</w:t>
      </w:r>
    </w:p>
    <w:p>
      <w:r>
        <w:t>Conformément à une jurisprudence constante, la loi s'interprète en premier lieu selon sa lettre. Si le texte n'est pas absolument clair, si plusieurs interprétations sont possibles, il convient de rechercher quelle est la véritable portée de la norme, en la dégageant de tous les éléments à considérer, soit notamment des travaux préparatoi- res, du but de la règle, de son esprit, ainsi que des valeurs sur lesquelles elle repose, singulièrement de l'intérêt protégé ou encore de sa relation avec d'autres dispositions légales (ATF 136 III 283 consid 2.3.1 ; 135 II 416 consid. 2.2 ; 134 I 184 consid. 5.1 et les arrêts cités). À l'inverse, lorsque le texte légal est clair, on ne pourra s'en écarter qu'en présence de raisons objectives qui permettraient de penser que celui-ci ne restitue pas le sens véritable de la disposition. De tels motifs peuvent découler des travaux préparatoires, du but et du sens de la norme, ainsi que de la systématique de la loi (ATF 135 IV 113 consid. 2.4.2, 129 II 232 consid. 2.4). Ces règles d'interprétation s'appliquent aux règlements communaux de police des constructions (arrêt du Tribunal fédéral 1C_138/2010 du 26 août 2010 consid. 2.4 et la référence). Appelée à déterminer le sens d’une réglementation communale, l’autorité de recours se doit d’observer une certaine retenue, l’autorité locale étant a priori mieux à même d’appliquer ladite réglementation dans le sens qu’il convient de lui donner. Toutefois, même si les communes disposent d'une autonomie protégée par la Constitution canto- nale du 8 mars 1907 (art. 69 ; RS/VS 101.1) en matière de police des constructions et d’aménagement local, cette autonomie ne laisse pas place à une interprétation d'une norme du règlement communal de police des constructions qui ne serait pas raison- nable et irait à l'encontre de son texte ou de son but (ACDP A1 11 59 du 2 décembre 2011 consid. 4b, citant notamment l’ATF 124 I 223 consid. 2b et les arrêts du Tribunal fédéral 1C_138/2010 du 26 août 2010 consid. 2.4 et 1P.543/2003 du 17 novembre 2003 consid. 2.3).</w:t>
      </w:r>
    </w:p>
    <w:p>
      <w:r>
        <w:t>- 8 -</w:t>
      </w:r>
    </w:p>
    <w:p>
      <w:r>
        <w:rPr>
          <w:b/>
        </w:rPr>
        <w:t>E. 3.2.3</w:t>
      </w:r>
    </w:p>
    <w:p>
      <w:r>
        <w:t>En l’occurrence, la Cour peut suivre l’interprétation défendue notamment par la commune de C_________, qui apparaît raisonnable et sans contradiction manifeste avec le texte et le but de l’article 146 lettre j RCC. La première phrase de cette disposition mentionne le terme « en principe », ce qui suppose que des exceptions sont envisageables. Cette possibilité est d’ailleurs confirmée par la seconde phrase qui impose en tous les cas (cf. le terme « toujours ») une adaptation de la hauteur par rapport aux bâtiments voisins, dans le respect des principes de l’hygiène et des qualités de la structure et du relief de la vieille ville. Il s’agit d’une règle claire posant des restrictions nettes aux possibilités de bâtir dans cette zone. Le projet qui ne respecterait pas cette règle-ci ne pourrait assurément être examiné que sous l’angle restreint de la dérogation. En revanche, les transformations demeurant dans les limites qu’elle pose devraient pouvoir être autorisées conformément au RCC. En effet, la formulation de la première phrase de l’article 146 lettre j RCC, qu’il convient de lire conjointement avec les possibilités limitées qu’offre la seconde phrase, ne s’oppose pas strictement à l’admission d’un projet dont la hauteur ne respecterait pas le gabarit actuel du bâtiment à transformer, mais serait adaptée au tissu urbain de la vieille ville. Le projet litigieux entre dans cette catégorie, de sorte qu’il ne nécessite pas de dérogation à la réglementation communale en ce qui concerne la hauteur, ce qui correspond d’ailleurs, selon le recourant et la commune, à une pratique bien établie. Sur ce point précis, la motivation de l’autorité précédente ne peut pas être suivie.</w:t>
      </w:r>
    </w:p>
    <w:p>
      <w:r>
        <w:rPr>
          <w:b/>
        </w:rPr>
        <w:t>E. 4</w:t>
      </w:r>
    </w:p>
    <w:p>
      <w:r>
        <w:t>Il reste que le projet de X_________ n’est pas conforme aux règles du RCC en matière de distances ; de ce fait, l’octroi du permis de bâtir nécessitait un examen particulier sous l’angle des articles 30 LC, 37 OC, 15 et 155 RCC relatifs au régime dérogatoire en zone constructible. Le prénommé n’a pas contesté la motivation que le Conseil d’Etat développe sous les considérants 3c à 3e de sa décision et qui conclut à une violation de ces dispositions. Cette conclusion doit ainsi être confirmée, ce qui conduit au rejet de celles que formule le recourant. 5.1 Attendu ce qui précède, le recours est rejeté (art. 80 al. 1 let. e et 60 al. 1 LPJA). 5.2 Vu l'issue du litige, les frais de la cause sont mis à la charge du recourant (art. 89 al. 1 LPJA), qui n’a pas droit à des dépens (art. 91 al. 1 a contrario LPJA). Celui-ci versera en outre une indemnité de dépens à Y_________ et Z_________, qui ont agi de concert, pris une conclusion dans ce sens et obtiennent gain de cause (art. 91 al. 1 LPJA). 5.3 Compte tenu des critères d'appréciation et des limites des articles 13 alinéa 1 et 25 de la loi du 11 février 2009 fixant le tarif des frais et dépens devant les autorités judiciaires ou administratives (LTar ; RS/VS 173.8), l'émolument de justice est fixé à 1200 fr., débours compris (art. 11 LTar). Les dépens dus par le recourant à la partie adverse sont fixés à 1200 fr. eu égard à la réponse du 15 février 2013 qui reprend en partie la teneur du mémoire déposé devant le Conseil d’Etat.</w:t>
      </w:r>
    </w:p>
    <w:p>
      <w:r>
        <w:t>- 9 -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